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6667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666740"/>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Wang Zhao</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100" w:type="dxa"/>
            <w:vAlign w:val="bottom"/>
            <w:tcBorders>
              <w:top w:val="single" w:sz="8" w:color="0000EE"/>
              <w:bottom w:val="single" w:sz="8" w:color="9A9A9A"/>
            </w:tcBorders>
          </w:tcPr>
          <w:p>
            <w:pPr>
              <w:spacing w:after="0"/>
              <w:rPr>
                <w:sz w:val="17"/>
                <w:szCs w:val="17"/>
                <w:color w:val="auto"/>
              </w:rPr>
            </w:pPr>
          </w:p>
        </w:tc>
        <w:tc>
          <w:tcPr>
            <w:tcW w:w="196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04/01/2026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EHang Holdings Ltd</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EH</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33"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577"/>
        <w:spacing w:after="0" w:line="275" w:lineRule="auto"/>
        <w:rPr>
          <w:sz w:val="20"/>
          <w:szCs w:val="20"/>
          <w:color w:val="auto"/>
        </w:rPr>
      </w:pPr>
      <w:r>
        <w:rPr>
          <w:rFonts w:ascii="Times New Roman" w:cs="Times New Roman" w:eastAsia="Times New Roman" w:hAnsi="Times New Roman"/>
          <w:sz w:val="20"/>
          <w:szCs w:val="20"/>
          <w:color w:val="0000FF"/>
        </w:rPr>
        <w:t>C/O EHANG HOLDINGS LTD, EHANG FUTURE</w:t>
      </w:r>
    </w:p>
    <w:p>
      <w:pPr>
        <w:spacing w:after="0" w:line="1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CITY, NO. 118 DONGJIANG</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AVENUE</w:t>
      </w:r>
    </w:p>
    <w:p>
      <w:pPr>
        <w:spacing w:after="0" w:line="313"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HUANGPU</w:t>
      </w:r>
    </w:p>
    <w:p>
      <w:pPr>
        <w:spacing w:after="0" w:line="24" w:lineRule="exact"/>
        <w:rPr>
          <w:sz w:val="24"/>
          <w:szCs w:val="24"/>
          <w:color w:val="auto"/>
        </w:rPr>
      </w:pPr>
    </w:p>
    <w:p>
      <w:pPr>
        <w:ind w:left="140" w:right="1397"/>
        <w:spacing w:after="0" w:line="261" w:lineRule="auto"/>
        <w:rPr>
          <w:sz w:val="20"/>
          <w:szCs w:val="20"/>
          <w:color w:val="auto"/>
        </w:rPr>
      </w:pPr>
      <w:r>
        <w:rPr>
          <w:rFonts w:ascii="Times New Roman" w:cs="Times New Roman" w:eastAsia="Times New Roman" w:hAnsi="Times New Roman"/>
          <w:sz w:val="20"/>
          <w:szCs w:val="20"/>
          <w:color w:val="0000FF"/>
        </w:rPr>
        <w:t>DISTRICT, F4 510730 GUANGZHOU</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23"/>
        <w:spacing w:after="0"/>
        <w:rPr>
          <w:sz w:val="20"/>
          <w:szCs w:val="20"/>
          <w:color w:val="auto"/>
        </w:rPr>
      </w:pPr>
      <w:r>
        <w:rPr>
          <w:rFonts w:ascii="Times New Roman" w:cs="Times New Roman" w:eastAsia="Times New Roman" w:hAnsi="Times New Roman"/>
          <w:sz w:val="20"/>
          <w:szCs w:val="20"/>
          <w:color w:val="0000FF"/>
        </w:rPr>
        <w:t>Chief Operating Officer</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00" w:lineRule="exact"/>
        <w:rPr>
          <w:rFonts w:ascii="Arial" w:cs="Arial" w:eastAsia="Arial" w:hAnsi="Arial"/>
          <w:sz w:val="15"/>
          <w:szCs w:val="15"/>
          <w:color w:val="auto"/>
        </w:rPr>
      </w:pPr>
    </w:p>
    <w:p>
      <w:pPr>
        <w:spacing w:after="0" w:line="26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63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2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80" w:type="dxa"/>
            <w:vAlign w:val="bottom"/>
            <w:gridSpan w:val="2"/>
          </w:tcPr>
          <w:p>
            <w:pPr>
              <w:ind w:left="780"/>
              <w:spacing w:after="0"/>
              <w:rPr>
                <w:sz w:val="20"/>
                <w:szCs w:val="20"/>
                <w:color w:val="auto"/>
              </w:rPr>
            </w:pPr>
            <w:r>
              <w:rPr>
                <w:rFonts w:ascii="Arial" w:cs="Arial" w:eastAsia="Arial" w:hAnsi="Arial"/>
                <w:sz w:val="15"/>
                <w:szCs w:val="15"/>
                <w:b w:val="1"/>
                <w:bCs w:val="1"/>
                <w:color w:val="auto"/>
              </w:rPr>
              <w:t>2. Amount of Securities</w:t>
            </w:r>
          </w:p>
        </w:tc>
        <w:tc>
          <w:tcPr>
            <w:tcW w:w="1360" w:type="dxa"/>
            <w:vAlign w:val="bottom"/>
            <w:gridSpan w:val="3"/>
          </w:tcPr>
          <w:p>
            <w:pPr>
              <w:ind w:left="18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80" w:type="dxa"/>
            <w:vAlign w:val="bottom"/>
            <w:gridSpan w:val="2"/>
          </w:tcPr>
          <w:p>
            <w:pPr>
              <w:ind w:left="78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360" w:type="dxa"/>
            <w:vAlign w:val="bottom"/>
            <w:gridSpan w:val="3"/>
          </w:tcPr>
          <w:p>
            <w:pPr>
              <w:ind w:left="180"/>
              <w:spacing w:after="0" w:line="165" w:lineRule="exact"/>
              <w:rPr>
                <w:sz w:val="20"/>
                <w:szCs w:val="20"/>
                <w:color w:val="auto"/>
              </w:rPr>
            </w:pPr>
            <w:r>
              <w:rPr>
                <w:rFonts w:ascii="Arial" w:cs="Arial" w:eastAsia="Arial" w:hAnsi="Arial"/>
                <w:sz w:val="15"/>
                <w:szCs w:val="15"/>
                <w:b w:val="1"/>
                <w:bCs w:val="1"/>
                <w:color w:val="auto"/>
              </w:rPr>
              <w:t>Form: Direct</w:t>
            </w:r>
          </w:p>
        </w:tc>
        <w:tc>
          <w:tcPr>
            <w:tcW w:w="2780" w:type="dxa"/>
            <w:vAlign w:val="bottom"/>
            <w:gridSpan w:val="4"/>
          </w:tcPr>
          <w:p>
            <w:pPr>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ind w:left="780"/>
              <w:spacing w:after="0" w:line="165" w:lineRule="exact"/>
              <w:rPr>
                <w:sz w:val="20"/>
                <w:szCs w:val="20"/>
                <w:color w:val="auto"/>
              </w:rPr>
            </w:pPr>
            <w:r>
              <w:rPr>
                <w:rFonts w:ascii="Arial" w:cs="Arial" w:eastAsia="Arial" w:hAnsi="Arial"/>
                <w:sz w:val="15"/>
                <w:szCs w:val="15"/>
                <w:b w:val="1"/>
                <w:bCs w:val="1"/>
                <w:color w:val="auto"/>
              </w:rPr>
              <w:t>4)</w:t>
            </w:r>
          </w:p>
        </w:tc>
        <w:tc>
          <w:tcPr>
            <w:tcW w:w="1740" w:type="dxa"/>
            <w:vAlign w:val="bottom"/>
          </w:tcPr>
          <w:p>
            <w:pPr>
              <w:spacing w:after="0"/>
              <w:rPr>
                <w:sz w:val="14"/>
                <w:szCs w:val="14"/>
                <w:color w:val="auto"/>
              </w:rPr>
            </w:pPr>
          </w:p>
        </w:tc>
        <w:tc>
          <w:tcPr>
            <w:tcW w:w="1360" w:type="dxa"/>
            <w:vAlign w:val="bottom"/>
            <w:gridSpan w:val="3"/>
          </w:tcPr>
          <w:p>
            <w:pPr>
              <w:ind w:left="180"/>
              <w:spacing w:after="0" w:line="165" w:lineRule="exact"/>
              <w:rPr>
                <w:sz w:val="20"/>
                <w:szCs w:val="20"/>
                <w:color w:val="auto"/>
              </w:rPr>
            </w:pPr>
            <w:r>
              <w:rPr>
                <w:rFonts w:ascii="Arial" w:cs="Arial" w:eastAsia="Arial" w:hAnsi="Arial"/>
                <w:sz w:val="15"/>
                <w:szCs w:val="15"/>
                <w:b w:val="1"/>
                <w:bCs w:val="1"/>
                <w:color w:val="auto"/>
              </w:rPr>
              <w:t>(D) or Indirect</w:t>
            </w: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360" w:type="dxa"/>
            <w:vAlign w:val="bottom"/>
            <w:gridSpan w:val="3"/>
          </w:tcPr>
          <w:p>
            <w:pPr>
              <w:ind w:left="180"/>
              <w:spacing w:after="0"/>
              <w:rPr>
                <w:sz w:val="20"/>
                <w:szCs w:val="20"/>
                <w:color w:val="auto"/>
              </w:rPr>
            </w:pPr>
            <w:r>
              <w:rPr>
                <w:rFonts w:ascii="Arial" w:cs="Arial" w:eastAsia="Arial" w:hAnsi="Arial"/>
                <w:sz w:val="15"/>
                <w:szCs w:val="15"/>
                <w:b w:val="1"/>
                <w:bCs w:val="1"/>
                <w:color w:val="auto"/>
              </w:rPr>
              <w:t>(I) (Instr. 5)</w:t>
            </w: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76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78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Shares are held by Caland Tech</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760" w:type="dxa"/>
            <w:vAlign w:val="bottom"/>
          </w:tcPr>
          <w:p>
            <w:pPr>
              <w:ind w:left="80"/>
              <w:spacing w:after="0" w:line="240" w:lineRule="exact"/>
              <w:rPr>
                <w:sz w:val="20"/>
                <w:szCs w:val="20"/>
                <w:color w:val="auto"/>
              </w:rPr>
            </w:pPr>
            <w:r>
              <w:rPr>
                <w:rFonts w:ascii="Times New Roman" w:cs="Times New Roman" w:eastAsia="Times New Roman" w:hAnsi="Times New Roman"/>
                <w:sz w:val="20"/>
                <w:szCs w:val="20"/>
                <w:color w:val="0000FF"/>
              </w:rPr>
              <w:t>Class A Ordinary Shares</w:t>
            </w:r>
            <w:r>
              <w:rPr>
                <w:rFonts w:ascii="Times New Roman" w:cs="Times New Roman" w:eastAsia="Times New Roman" w:hAnsi="Times New Roman"/>
                <w:sz w:val="25"/>
                <w:szCs w:val="25"/>
                <w:color w:val="008000"/>
                <w:vertAlign w:val="superscript"/>
              </w:rPr>
              <w:t>(1)</w:t>
            </w: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740" w:type="dxa"/>
            <w:vAlign w:val="bottom"/>
          </w:tcPr>
          <w:p>
            <w:pPr>
              <w:jc w:val="right"/>
              <w:ind w:right="537"/>
              <w:spacing w:after="0"/>
              <w:rPr>
                <w:sz w:val="20"/>
                <w:szCs w:val="20"/>
                <w:color w:val="auto"/>
              </w:rPr>
            </w:pPr>
            <w:r>
              <w:rPr>
                <w:rFonts w:ascii="Times New Roman" w:cs="Times New Roman" w:eastAsia="Times New Roman" w:hAnsi="Times New Roman"/>
                <w:sz w:val="20"/>
                <w:szCs w:val="20"/>
                <w:color w:val="0000FF"/>
              </w:rPr>
              <w:t>742,500</w:t>
            </w:r>
          </w:p>
        </w:tc>
        <w:tc>
          <w:tcPr>
            <w:tcW w:w="78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0000FF"/>
              </w:rPr>
              <w:t>I</w:t>
            </w:r>
          </w:p>
        </w:tc>
        <w:tc>
          <w:tcPr>
            <w:tcW w:w="580" w:type="dxa"/>
            <w:vAlign w:val="bottom"/>
          </w:tcPr>
          <w:p>
            <w:pPr>
              <w:spacing w:after="0"/>
              <w:rPr>
                <w:sz w:val="20"/>
                <w:szCs w:val="20"/>
                <w:color w:val="auto"/>
              </w:rPr>
            </w:pPr>
          </w:p>
        </w:tc>
        <w:tc>
          <w:tcPr>
            <w:tcW w:w="278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Limited, a British Virgin Islands</w:t>
            </w: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78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company that is wholly owned by</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Class A Ordinary Shares</w:t>
            </w:r>
            <w:r>
              <w:rPr>
                <w:rFonts w:ascii="Times New Roman" w:cs="Times New Roman" w:eastAsia="Times New Roman" w:hAnsi="Times New Roman"/>
                <w:sz w:val="25"/>
                <w:szCs w:val="25"/>
                <w:color w:val="008000"/>
                <w:vertAlign w:val="superscript"/>
              </w:rPr>
              <w:t>(1)</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jc w:val="right"/>
              <w:ind w:right="397"/>
              <w:spacing w:after="0"/>
              <w:rPr>
                <w:sz w:val="20"/>
                <w:szCs w:val="20"/>
                <w:color w:val="auto"/>
              </w:rPr>
            </w:pPr>
            <w:r>
              <w:rPr>
                <w:rFonts w:ascii="Times New Roman" w:cs="Times New Roman" w:eastAsia="Times New Roman" w:hAnsi="Times New Roman"/>
                <w:sz w:val="20"/>
                <w:szCs w:val="20"/>
                <w:color w:val="0000FF"/>
              </w:rPr>
              <w:t>1,327,500</w:t>
            </w:r>
            <w:r>
              <w:rPr>
                <w:rFonts w:ascii="Times New Roman" w:cs="Times New Roman" w:eastAsia="Times New Roman" w:hAnsi="Times New Roman"/>
                <w:sz w:val="25"/>
                <w:szCs w:val="25"/>
                <w:color w:val="008000"/>
                <w:vertAlign w:val="superscript"/>
              </w:rPr>
              <w:t>(2)</w:t>
            </w:r>
          </w:p>
        </w:tc>
        <w:tc>
          <w:tcPr>
            <w:tcW w:w="78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20"/>
                <w:szCs w:val="20"/>
                <w:color w:val="0000FF"/>
                <w:w w:val="96"/>
              </w:rPr>
              <w:t>D</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02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34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380" w:type="dxa"/>
            <w:vAlign w:val="bottom"/>
            <w:gridSpan w:val="7"/>
          </w:tcPr>
          <w:p>
            <w:pPr>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3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2"/>
          </w:tcPr>
          <w:p>
            <w:pPr>
              <w:spacing w:after="0"/>
              <w:rPr>
                <w:sz w:val="3"/>
                <w:szCs w:val="3"/>
                <w:color w:val="auto"/>
              </w:rPr>
            </w:pPr>
          </w:p>
        </w:tc>
        <w:tc>
          <w:tcPr>
            <w:tcW w:w="24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92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20" w:type="dxa"/>
            <w:vAlign w:val="bottom"/>
            <w:gridSpan w:val="3"/>
          </w:tcPr>
          <w:p>
            <w:pPr>
              <w:ind w:left="20"/>
              <w:spacing w:after="0"/>
              <w:rPr>
                <w:sz w:val="20"/>
                <w:szCs w:val="20"/>
                <w:color w:val="auto"/>
              </w:rPr>
            </w:pPr>
            <w:r>
              <w:rPr>
                <w:rFonts w:ascii="Arial" w:cs="Arial" w:eastAsia="Arial" w:hAnsi="Arial"/>
                <w:sz w:val="15"/>
                <w:szCs w:val="15"/>
                <w:b w:val="1"/>
                <w:bCs w:val="1"/>
                <w:color w:val="auto"/>
              </w:rPr>
              <w:t>3. Title and Amount of Securities</w:t>
            </w:r>
          </w:p>
        </w:tc>
        <w:tc>
          <w:tcPr>
            <w:tcW w:w="58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34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20" w:type="dxa"/>
            <w:vAlign w:val="bottom"/>
            <w:gridSpan w:val="3"/>
          </w:tcPr>
          <w:p>
            <w:pPr>
              <w:ind w:left="2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(Instr. 4)</w:t>
            </w: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w w:val="98"/>
              </w:rPr>
              <w:t>Price of</w:t>
            </w:r>
          </w:p>
        </w:tc>
        <w:tc>
          <w:tcPr>
            <w:tcW w:w="340" w:type="dxa"/>
            <w:vAlign w:val="bottom"/>
          </w:tcPr>
          <w:p>
            <w:pPr>
              <w:spacing w:after="0"/>
              <w:rPr>
                <w:sz w:val="7"/>
                <w:szCs w:val="7"/>
                <w:color w:val="auto"/>
              </w:rPr>
            </w:pP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740" w:type="dxa"/>
            <w:vAlign w:val="bottom"/>
          </w:tcPr>
          <w:p>
            <w:pPr>
              <w:spacing w:after="0"/>
              <w:rPr>
                <w:sz w:val="5"/>
                <w:szCs w:val="5"/>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5"/>
                <w:szCs w:val="15"/>
                <w:b w:val="1"/>
                <w:bCs w:val="1"/>
                <w:color w:val="auto"/>
              </w:rPr>
              <w:t>Amount</w:t>
            </w:r>
          </w:p>
        </w:tc>
        <w:tc>
          <w:tcPr>
            <w:tcW w:w="5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920" w:type="dxa"/>
            <w:vAlign w:val="bottom"/>
            <w:gridSpan w:val="2"/>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7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7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Number</w:t>
            </w: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7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of</w:t>
            </w: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20"/>
              <w:spacing w:after="0"/>
              <w:rPr>
                <w:sz w:val="20"/>
                <w:szCs w:val="20"/>
                <w:color w:val="auto"/>
              </w:rPr>
            </w:pPr>
            <w:r>
              <w:rPr>
                <w:rFonts w:ascii="Arial" w:cs="Arial" w:eastAsia="Arial" w:hAnsi="Arial"/>
                <w:sz w:val="15"/>
                <w:szCs w:val="15"/>
                <w:b w:val="1"/>
                <w:bCs w:val="1"/>
                <w:color w:val="auto"/>
              </w:rPr>
              <w:t>Title</w:t>
            </w:r>
          </w:p>
        </w:tc>
        <w:tc>
          <w:tcPr>
            <w:tcW w:w="780" w:type="dxa"/>
            <w:vAlign w:val="bottom"/>
            <w:gridSpan w:val="2"/>
          </w:tcPr>
          <w:p>
            <w:pPr>
              <w:ind w:left="80"/>
              <w:spacing w:after="0"/>
              <w:rPr>
                <w:sz w:val="20"/>
                <w:szCs w:val="20"/>
                <w:color w:val="auto"/>
              </w:rPr>
            </w:pPr>
            <w:r>
              <w:rPr>
                <w:rFonts w:ascii="Arial" w:cs="Arial" w:eastAsia="Arial" w:hAnsi="Arial"/>
                <w:sz w:val="15"/>
                <w:szCs w:val="15"/>
                <w:b w:val="1"/>
                <w:bCs w:val="1"/>
                <w:color w:val="auto"/>
              </w:rPr>
              <w:t>Shares</w:t>
            </w: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Class A Ordinary Shares of the Issuer may be represented by American Depositary Shares ("ADSs"). Each ADS represents two Class A Ordinary Shares.</w:t>
      </w:r>
    </w:p>
    <w:p>
      <w:pPr>
        <w:spacing w:after="0" w:line="52" w:lineRule="exact"/>
        <w:rPr>
          <w:rFonts w:ascii="Times New Roman" w:cs="Times New Roman" w:eastAsia="Times New Roman" w:hAnsi="Times New Roman"/>
          <w:sz w:val="15"/>
          <w:szCs w:val="15"/>
          <w:color w:val="008000"/>
        </w:rPr>
      </w:pPr>
    </w:p>
    <w:p>
      <w:pPr>
        <w:ind w:left="40" w:right="80" w:firstLine="5"/>
        <w:spacing w:after="0" w:line="244"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Includes 1,327,500 restricted share units (the "RSUs"). Each RSU represents a contingent right to receive one Class A Ordinary Share of the Issuer upon settlement. 1,000,000 RSUs will vest in two years; 127,500 RSUs will vest in three years and 200,000 RSUs will vest in four years, in each case subject to the Reporting Person's continued service to the Issuer on each such vesting date.</w:t>
      </w:r>
    </w:p>
    <w:p>
      <w:pPr>
        <w:spacing w:after="0" w:line="39"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/s/ ZHAO WANG</w:t>
            </w:r>
          </w:p>
        </w:tc>
        <w:tc>
          <w:tcPr>
            <w:tcW w:w="900" w:type="dxa"/>
            <w:vAlign w:val="bottom"/>
          </w:tcPr>
          <w:p>
            <w:pPr>
              <w:spacing w:after="0"/>
              <w:rPr>
                <w:sz w:val="20"/>
                <w:szCs w:val="20"/>
                <w:color w:val="auto"/>
              </w:rPr>
            </w:pPr>
            <w:r>
              <w:rPr>
                <w:rFonts w:ascii="Times New Roman" w:cs="Times New Roman" w:eastAsia="Times New Roman" w:hAnsi="Times New Roman"/>
                <w:sz w:val="20"/>
                <w:szCs w:val="20"/>
                <w:color w:val="0000FF"/>
                <w:w w:val="96"/>
              </w:rPr>
              <w:t>04/01/2026</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0"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121929" TargetMode="External"/><Relationship Id="rId11" Type="http://schemas.openxmlformats.org/officeDocument/2006/relationships/hyperlink" Target="http://www.sec.gov/cgi-bin/browse-edgar?action=getcompany&amp;CIK=00017597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2026-04-01T19:58:23Z</dcterms:created>
  <dcterms:modified xsi:type="dcterms:W3CDTF">2026-04-01T19:58:23Z</dcterms:modified>
</cp:coreProperties>
</file>