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14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143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Yang Conor Chia-hung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EHang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EHANG HOLDINGS LTD, EHANG FUTURE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CITY, NO. 118 DONGJIANG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HUANGPU</w:t>
      </w:r>
    </w:p>
    <w:p>
      <w:pPr>
        <w:spacing w:after="0" w:line="24" w:lineRule="exact"/>
        <w:rPr>
          <w:sz w:val="24"/>
          <w:szCs w:val="24"/>
          <w:color w:val="auto"/>
        </w:rPr>
      </w:pPr>
    </w:p>
    <w:p>
      <w:pPr>
        <w:ind w:left="140" w:right="1397"/>
        <w:spacing w:after="0" w:line="261" w:lineRule="auto"/>
        <w:rPr>
          <w:sz w:val="20"/>
          <w:szCs w:val="20"/>
          <w:color w:val="auto"/>
        </w:rPr>
      </w:pPr>
      <w:r>
        <w:rPr>
          <w:rFonts w:ascii="Times New Roman" w:cs="Times New Roman" w:eastAsia="Times New Roman" w:hAnsi="Times New Roman"/>
          <w:sz w:val="20"/>
          <w:szCs w:val="20"/>
          <w:color w:val="0000FF"/>
        </w:rPr>
        <w:t>DISTRICT, F4 510730 GUANGZHOU</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63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2"/>
              </w:rPr>
              <w:t>2,575,000</w:t>
            </w:r>
            <w:r>
              <w:rPr>
                <w:rFonts w:ascii="Times New Roman" w:cs="Times New Roman" w:eastAsia="Times New Roman" w:hAnsi="Times New Roman"/>
                <w:sz w:val="25"/>
                <w:szCs w:val="25"/>
                <w:color w:val="008000"/>
                <w:w w:val="92"/>
                <w:vertAlign w:val="superscript"/>
              </w:rPr>
              <w:t>(2)</w:t>
            </w:r>
          </w:p>
        </w:tc>
        <w:tc>
          <w:tcPr>
            <w:tcW w:w="9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r>
              <w:rPr>
                <w:rFonts w:ascii="Times New Roman" w:cs="Times New Roman" w:eastAsia="Times New Roman" w:hAnsi="Times New Roman"/>
                <w:sz w:val="25"/>
                <w:szCs w:val="25"/>
                <w:color w:val="008000"/>
                <w:vertAlign w:val="superscript"/>
              </w:rPr>
              <w:t>(3)</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12/31/2034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200,000</w:t>
            </w:r>
          </w:p>
        </w:tc>
        <w:tc>
          <w:tcPr>
            <w:tcW w:w="60" w:type="dxa"/>
            <w:vAlign w:val="bottom"/>
          </w:tcPr>
          <w:p>
            <w:pPr>
              <w:spacing w:after="0"/>
              <w:rPr>
                <w:sz w:val="24"/>
                <w:szCs w:val="24"/>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0.0001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A Ordinary Shares of the Issuer may be represented by American Depositary Shares ("ADSs"). Each ADS represents two Class A Ordinary Shares.</w:t>
      </w:r>
    </w:p>
    <w:p>
      <w:pPr>
        <w:spacing w:after="0" w:line="52"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1,600,000 restricted share units (the "RSUs"). Each RSU represents a contingent right to receive one Class A Ordinary Share of the Issuer upon settlement. 1,250,000 RSUs will vest in two years; 150,000 RSUs will vest in three years and 200,000 RSUs will vest in four years, in each case subject to the Reporting Person's continued service to the Issuer on each such vesting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will vest in two years subject to Reporting Person's continued service to the Issuer on each vesting date.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Conor CHIA-HUNG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4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87"/>
              </w:rPr>
              <w:t>Yang</w:t>
            </w:r>
          </w:p>
        </w:tc>
        <w:tc>
          <w:tcPr>
            <w:tcW w:w="1460" w:type="dxa"/>
            <w:vAlign w:val="bottom"/>
            <w:vMerge w:val="restart"/>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32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8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924" TargetMode="External"/><Relationship Id="rId11" Type="http://schemas.openxmlformats.org/officeDocument/2006/relationships/hyperlink" Target="http://www.sec.gov/cgi-bin/browse-edgar?action=getcompany&amp;CIK=0001759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2026-04-01T19:46:40Z</dcterms:created>
  <dcterms:modified xsi:type="dcterms:W3CDTF">2026-04-01T19:46:40Z</dcterms:modified>
</cp:coreProperties>
</file>